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1D" w:rsidRDefault="00D97EAA" w:rsidP="003701FF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AFB00" wp14:editId="463C29A8">
                <wp:simplePos x="0" y="0"/>
                <wp:positionH relativeFrom="column">
                  <wp:posOffset>1097280</wp:posOffset>
                </wp:positionH>
                <wp:positionV relativeFrom="paragraph">
                  <wp:posOffset>502920</wp:posOffset>
                </wp:positionV>
                <wp:extent cx="6583680" cy="400050"/>
                <wp:effectExtent l="152400" t="152400" r="179070" b="1714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124493" id="Rectangle 3" o:spid="_x0000_s1026" style="position:absolute;margin-left:86.4pt;margin-top:39.6pt;width:518.4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" filled="f" strokecolor="#c00000" strokeweight="2pt"/>
            </w:pict>
          </mc:Fallback>
        </mc:AlternateContent>
      </w:r>
    </w:p>
    <w:p w:rsidR="00DB0802" w:rsidRDefault="00D97EAA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 xml:space="preserve">Autumn </w:t>
      </w:r>
      <w:r w:rsidR="00A6070A">
        <w:rPr>
          <w:rFonts w:ascii="NTPreCursivefk" w:hAnsi="NTPreCursivefk"/>
          <w:noProof/>
          <w:sz w:val="48"/>
          <w:lang w:eastAsia="en-GB"/>
        </w:rPr>
        <w:t>Healthy and Varied Diet</w:t>
      </w:r>
      <w:r w:rsidR="00E15471">
        <w:rPr>
          <w:rFonts w:ascii="NTPreCursivefk" w:hAnsi="NTPreCursivefk"/>
          <w:noProof/>
          <w:sz w:val="48"/>
          <w:lang w:eastAsia="en-GB"/>
        </w:rPr>
        <w:t xml:space="preserve">: </w:t>
      </w:r>
      <w:r w:rsidR="0085234D">
        <w:rPr>
          <w:rFonts w:ascii="NTPreCursivefk" w:hAnsi="NTPreCursivefk"/>
          <w:noProof/>
          <w:sz w:val="48"/>
          <w:lang w:eastAsia="en-GB"/>
        </w:rPr>
        <w:t>How to make bread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DB0802" w:rsidRPr="00DB0802" w:rsidRDefault="00DB0802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:rsidTr="00E15FF1">
        <w:tc>
          <w:tcPr>
            <w:tcW w:w="11874" w:type="dxa"/>
          </w:tcPr>
          <w:p w:rsidR="00E15471" w:rsidRDefault="00E15471" w:rsidP="00E15471">
            <w:pPr>
              <w:pStyle w:val="bulletundertext"/>
              <w:numPr>
                <w:ilvl w:val="0"/>
                <w:numId w:val="0"/>
              </w:numPr>
              <w:spacing w:after="120"/>
              <w:ind w:left="357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Designing</w:t>
            </w:r>
          </w:p>
          <w:p w:rsidR="0085234D" w:rsidRDefault="00E15471" w:rsidP="00E15471">
            <w:pPr>
              <w:pStyle w:val="bulletundertext"/>
              <w:spacing w:after="120"/>
              <w:rPr>
                <w:rFonts w:ascii="NTPreCursivefk" w:hAnsi="NTPreCursivefk"/>
                <w:sz w:val="32"/>
              </w:rPr>
            </w:pPr>
            <w:r w:rsidRPr="00E15471">
              <w:rPr>
                <w:rFonts w:ascii="NTPreCursivefk" w:hAnsi="NTPreCursivefk"/>
                <w:sz w:val="32"/>
              </w:rPr>
              <w:t>Understand how key event</w:t>
            </w:r>
            <w:r>
              <w:rPr>
                <w:rFonts w:ascii="NTPreCursivefk" w:hAnsi="NTPreCursivefk"/>
                <w:sz w:val="32"/>
              </w:rPr>
              <w:t xml:space="preserve">s and individuals in design and </w:t>
            </w:r>
            <w:r w:rsidRPr="00E15471">
              <w:rPr>
                <w:rFonts w:ascii="NTPreCursivefk" w:hAnsi="NTPreCursivefk"/>
                <w:sz w:val="32"/>
              </w:rPr>
              <w:t>technology have helped sh</w:t>
            </w:r>
            <w:r>
              <w:rPr>
                <w:rFonts w:ascii="NTPreCursivefk" w:hAnsi="NTPreCursivefk"/>
                <w:sz w:val="32"/>
              </w:rPr>
              <w:t xml:space="preserve">ape the world in the context of </w:t>
            </w:r>
            <w:r w:rsidRPr="00E15471">
              <w:rPr>
                <w:rFonts w:ascii="NTPreCursivefk" w:hAnsi="NTPreCursivefk"/>
                <w:sz w:val="32"/>
              </w:rPr>
              <w:t xml:space="preserve">the history behind </w:t>
            </w:r>
            <w:proofErr w:type="spellStart"/>
            <w:r w:rsidRPr="00E15471">
              <w:rPr>
                <w:rFonts w:ascii="NTPreCursivefk" w:hAnsi="NTPreCursivefk"/>
                <w:sz w:val="32"/>
              </w:rPr>
              <w:t>Warburtons</w:t>
            </w:r>
            <w:proofErr w:type="spellEnd"/>
            <w:r w:rsidRPr="00E15471">
              <w:rPr>
                <w:rFonts w:ascii="NTPreCursivefk" w:hAnsi="NTPreCursivefk"/>
                <w:sz w:val="32"/>
              </w:rPr>
              <w:t>.</w:t>
            </w:r>
          </w:p>
          <w:p w:rsidR="00E15471" w:rsidRDefault="00E15471" w:rsidP="00E15471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E15471">
              <w:rPr>
                <w:rFonts w:ascii="NTPreCursivefk" w:hAnsi="NTPreCursivefk"/>
                <w:sz w:val="32"/>
              </w:rPr>
              <w:t>Investigate and analyse a range of existing products in the</w:t>
            </w:r>
            <w:r>
              <w:rPr>
                <w:rFonts w:ascii="NTPreCursivefk" w:hAnsi="NTPreCursivefk"/>
                <w:sz w:val="32"/>
              </w:rPr>
              <w:t xml:space="preserve"> </w:t>
            </w:r>
            <w:r w:rsidRPr="00E15471">
              <w:rPr>
                <w:rFonts w:ascii="NTPreCursivefk" w:hAnsi="NTPreCursivefk"/>
                <w:sz w:val="32"/>
              </w:rPr>
              <w:t xml:space="preserve">context of different breads made by </w:t>
            </w:r>
            <w:proofErr w:type="spellStart"/>
            <w:r w:rsidRPr="00E15471">
              <w:rPr>
                <w:rFonts w:ascii="NTPreCursivefk" w:hAnsi="NTPreCursivefk"/>
                <w:sz w:val="32"/>
              </w:rPr>
              <w:t>Warburtons</w:t>
            </w:r>
            <w:proofErr w:type="spellEnd"/>
            <w:r w:rsidRPr="00E15471">
              <w:rPr>
                <w:rFonts w:ascii="NTPreCursivefk" w:hAnsi="NTPreCursivefk"/>
                <w:sz w:val="32"/>
              </w:rPr>
              <w:t>.</w:t>
            </w:r>
          </w:p>
          <w:p w:rsidR="00E15471" w:rsidRDefault="00E15471" w:rsidP="00E15471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E15471">
              <w:rPr>
                <w:rFonts w:ascii="NTPreCursivefk" w:hAnsi="NTPreCursivefk"/>
                <w:sz w:val="32"/>
              </w:rPr>
              <w:t>Use research and develop design criteria to inform the</w:t>
            </w:r>
            <w:r>
              <w:rPr>
                <w:rFonts w:ascii="NTPreCursivefk" w:hAnsi="NTPreCursivefk"/>
                <w:sz w:val="32"/>
              </w:rPr>
              <w:t xml:space="preserve"> </w:t>
            </w:r>
            <w:r w:rsidRPr="00E15471">
              <w:rPr>
                <w:rFonts w:ascii="NTPreCursivefk" w:hAnsi="NTPreCursivefk"/>
                <w:sz w:val="32"/>
              </w:rPr>
              <w:t>design of innovative, func</w:t>
            </w:r>
            <w:r>
              <w:rPr>
                <w:rFonts w:ascii="NTPreCursivefk" w:hAnsi="NTPreCursivefk"/>
                <w:sz w:val="32"/>
              </w:rPr>
              <w:t xml:space="preserve">tional, appealing products that </w:t>
            </w:r>
            <w:r w:rsidRPr="00E15471">
              <w:rPr>
                <w:rFonts w:ascii="NTPreCursivefk" w:hAnsi="NTPreCursivefk"/>
                <w:sz w:val="32"/>
              </w:rPr>
              <w:t>are fit for purpose, aimed at p</w:t>
            </w:r>
            <w:r>
              <w:rPr>
                <w:rFonts w:ascii="NTPreCursivefk" w:hAnsi="NTPreCursivefk"/>
                <w:sz w:val="32"/>
              </w:rPr>
              <w:t xml:space="preserve">articular individuals or groups </w:t>
            </w:r>
            <w:r w:rsidRPr="00E15471">
              <w:rPr>
                <w:rFonts w:ascii="NTPreCursivefk" w:hAnsi="NTPreCursivefk"/>
                <w:sz w:val="32"/>
              </w:rPr>
              <w:t xml:space="preserve">in the context of creating </w:t>
            </w:r>
            <w:proofErr w:type="gramStart"/>
            <w:r w:rsidRPr="00E15471">
              <w:rPr>
                <w:rFonts w:ascii="NTPreCursivefk" w:hAnsi="NTPreCursivefk"/>
                <w:sz w:val="32"/>
              </w:rPr>
              <w:t>a</w:t>
            </w:r>
            <w:r>
              <w:rPr>
                <w:rFonts w:ascii="NTPreCursivefk" w:hAnsi="NTPreCursivefk"/>
                <w:sz w:val="32"/>
              </w:rPr>
              <w:t xml:space="preserve"> design criteria</w:t>
            </w:r>
            <w:proofErr w:type="gramEnd"/>
            <w:r>
              <w:rPr>
                <w:rFonts w:ascii="NTPreCursivefk" w:hAnsi="NTPreCursivefk"/>
                <w:sz w:val="32"/>
              </w:rPr>
              <w:t xml:space="preserve"> for a new type </w:t>
            </w:r>
            <w:r w:rsidRPr="00E15471">
              <w:rPr>
                <w:rFonts w:ascii="NTPreCursivefk" w:hAnsi="NTPreCursivefk"/>
                <w:sz w:val="32"/>
              </w:rPr>
              <w:t xml:space="preserve">of bread. </w:t>
            </w:r>
          </w:p>
          <w:p w:rsidR="00E15471" w:rsidRDefault="00E15471" w:rsidP="00E15471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Making</w:t>
            </w:r>
          </w:p>
          <w:p w:rsidR="00E15471" w:rsidRDefault="00E15471" w:rsidP="00E15471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E15471">
              <w:rPr>
                <w:rFonts w:ascii="NTPreCursivefk" w:hAnsi="NTPreCursivefk"/>
                <w:sz w:val="32"/>
              </w:rPr>
              <w:t>Select from and</w:t>
            </w:r>
            <w:r>
              <w:rPr>
                <w:rFonts w:ascii="NTPreCursivefk" w:hAnsi="NTPreCursivefk"/>
                <w:sz w:val="32"/>
              </w:rPr>
              <w:t xml:space="preserve"> use a wider range of tools and </w:t>
            </w:r>
            <w:r w:rsidRPr="00E15471">
              <w:rPr>
                <w:rFonts w:ascii="NTPreCursivefk" w:hAnsi="NTPreCursivefk"/>
                <w:sz w:val="32"/>
              </w:rPr>
              <w:t>equipment to perform prac</w:t>
            </w:r>
            <w:r>
              <w:rPr>
                <w:rFonts w:ascii="NTPreCursivefk" w:hAnsi="NTPreCursivefk"/>
                <w:sz w:val="32"/>
              </w:rPr>
              <w:t xml:space="preserve">tical tasks for example shaping </w:t>
            </w:r>
            <w:r w:rsidRPr="00E15471">
              <w:rPr>
                <w:rFonts w:ascii="NTPreCursivefk" w:hAnsi="NTPreCursivefk"/>
                <w:sz w:val="32"/>
              </w:rPr>
              <w:t>accurately in the context of shaping salt dough.</w:t>
            </w:r>
          </w:p>
          <w:p w:rsidR="00E15471" w:rsidRDefault="00E15471" w:rsidP="00E15471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E15471">
              <w:rPr>
                <w:rFonts w:ascii="NTPreCursivefk" w:hAnsi="NTPreCursivefk"/>
                <w:sz w:val="32"/>
              </w:rPr>
              <w:lastRenderedPageBreak/>
              <w:t>Prepare and cook a variety of predominantly savoury</w:t>
            </w:r>
            <w:r>
              <w:rPr>
                <w:rFonts w:ascii="NTPreCursivefk" w:hAnsi="NTPreCursivefk"/>
                <w:sz w:val="32"/>
              </w:rPr>
              <w:t xml:space="preserve"> </w:t>
            </w:r>
            <w:r w:rsidRPr="00E15471">
              <w:rPr>
                <w:rFonts w:ascii="NTPreCursivefk" w:hAnsi="NTPreCursivefk"/>
                <w:sz w:val="32"/>
              </w:rPr>
              <w:t>dishes using a range of co</w:t>
            </w:r>
            <w:r>
              <w:rPr>
                <w:rFonts w:ascii="NTPreCursivefk" w:hAnsi="NTPreCursivefk"/>
                <w:sz w:val="32"/>
              </w:rPr>
              <w:t xml:space="preserve">oking techniques in the context </w:t>
            </w:r>
            <w:r w:rsidRPr="00E15471">
              <w:rPr>
                <w:rFonts w:ascii="NTPreCursivefk" w:hAnsi="NTPreCursivefk"/>
                <w:sz w:val="32"/>
              </w:rPr>
              <w:t>of making a new bread</w:t>
            </w:r>
            <w:r>
              <w:rPr>
                <w:rFonts w:ascii="NTPreCursivefk" w:hAnsi="NTPreCursivefk"/>
                <w:sz w:val="32"/>
              </w:rPr>
              <w:t xml:space="preserve"> product. </w:t>
            </w:r>
          </w:p>
          <w:p w:rsidR="00E15471" w:rsidRDefault="00E15471" w:rsidP="00E15471">
            <w:pPr>
              <w:pStyle w:val="bulletundertext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 xml:space="preserve">Select from and use a </w:t>
            </w:r>
            <w:r w:rsidRPr="00E15471">
              <w:rPr>
                <w:rFonts w:ascii="NTPreCursivefk" w:hAnsi="NTPreCursivefk"/>
                <w:sz w:val="32"/>
              </w:rPr>
              <w:t>wider range of equipme</w:t>
            </w:r>
            <w:r>
              <w:rPr>
                <w:rFonts w:ascii="NTPreCursivefk" w:hAnsi="NTPreCursivefk"/>
                <w:sz w:val="32"/>
              </w:rPr>
              <w:t xml:space="preserve">nt to perform practical tasks </w:t>
            </w:r>
            <w:r w:rsidRPr="00E15471">
              <w:rPr>
                <w:rFonts w:ascii="NTPreCursivefk" w:hAnsi="NTPreCursivefk"/>
                <w:sz w:val="32"/>
              </w:rPr>
              <w:t xml:space="preserve">accurately. </w:t>
            </w:r>
          </w:p>
          <w:p w:rsidR="00E15471" w:rsidRDefault="00E15471" w:rsidP="00E15471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Evaluate</w:t>
            </w:r>
            <w:bookmarkStart w:id="0" w:name="_GoBack"/>
            <w:bookmarkEnd w:id="0"/>
          </w:p>
          <w:p w:rsidR="00DB0802" w:rsidRPr="00E15471" w:rsidRDefault="00E15471" w:rsidP="00E15471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E15471">
              <w:rPr>
                <w:rFonts w:ascii="NTPreCursivefk" w:hAnsi="NTPreCursivefk"/>
                <w:sz w:val="32"/>
              </w:rPr>
              <w:t>Evaluate their i</w:t>
            </w:r>
            <w:r>
              <w:rPr>
                <w:rFonts w:ascii="NTPreCursivefk" w:hAnsi="NTPreCursivefk"/>
                <w:sz w:val="32"/>
              </w:rPr>
              <w:t xml:space="preserve">deas and products against their </w:t>
            </w:r>
            <w:r w:rsidRPr="00E15471">
              <w:rPr>
                <w:rFonts w:ascii="NTPreCursivefk" w:hAnsi="NTPreCursivefk"/>
                <w:sz w:val="32"/>
              </w:rPr>
              <w:t>own Design Criteria.</w:t>
            </w:r>
          </w:p>
        </w:tc>
      </w:tr>
    </w:tbl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DB0802" w:rsidRDefault="0023450D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3738E" wp14:editId="3F14EE45">
                <wp:simplePos x="0" y="0"/>
                <wp:positionH relativeFrom="column">
                  <wp:posOffset>1409700</wp:posOffset>
                </wp:positionH>
                <wp:positionV relativeFrom="paragraph">
                  <wp:posOffset>-85725</wp:posOffset>
                </wp:positionV>
                <wp:extent cx="6118860" cy="457200"/>
                <wp:effectExtent l="152400" t="152400" r="167640" b="1714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F6DF7" id="Rectangle 4" o:spid="_x0000_s1026" style="position:absolute;margin-left:111pt;margin-top:-6.75pt;width:48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" filled="f" strokecolor="#c00000" strokeweight="2pt"/>
            </w:pict>
          </mc:Fallback>
        </mc:AlternateContent>
      </w:r>
      <w:r w:rsidR="00D97EAA">
        <w:rPr>
          <w:rFonts w:ascii="NTPreCursivefk" w:hAnsi="NTPreCursivefk"/>
          <w:noProof/>
          <w:sz w:val="48"/>
          <w:lang w:eastAsia="en-GB"/>
        </w:rPr>
        <w:t>Spring</w:t>
      </w:r>
      <w:r w:rsidR="00E15471">
        <w:rPr>
          <w:rFonts w:ascii="NTPreCursivefk" w:hAnsi="NTPreCursivefk"/>
          <w:noProof/>
          <w:sz w:val="48"/>
          <w:lang w:eastAsia="en-GB"/>
        </w:rPr>
        <w:t>:</w:t>
      </w:r>
      <w:r w:rsidR="00D97EAA">
        <w:rPr>
          <w:rFonts w:ascii="NTPreCursivefk" w:hAnsi="NTPreCursivefk"/>
          <w:noProof/>
          <w:sz w:val="48"/>
          <w:lang w:eastAsia="en-GB"/>
        </w:rPr>
        <w:t xml:space="preserve"> </w:t>
      </w:r>
      <w:r>
        <w:rPr>
          <w:rFonts w:ascii="NTPreCursivefk" w:hAnsi="NTPreCursivefk"/>
          <w:noProof/>
          <w:sz w:val="48"/>
          <w:lang w:eastAsia="en-GB"/>
        </w:rPr>
        <w:t>2D Shape to 3D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8E2D05" w:rsidRPr="00DB0802" w:rsidTr="00E15FF1">
        <w:tc>
          <w:tcPr>
            <w:tcW w:w="11874" w:type="dxa"/>
          </w:tcPr>
          <w:p w:rsidR="008E2D05" w:rsidRPr="00DB0802" w:rsidRDefault="008E2D05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lastRenderedPageBreak/>
              <w:t>National Curriculum Links</w:t>
            </w:r>
          </w:p>
        </w:tc>
      </w:tr>
      <w:tr w:rsidR="008E2D05" w:rsidRPr="00DB0802" w:rsidTr="00E15FF1">
        <w:tc>
          <w:tcPr>
            <w:tcW w:w="11874" w:type="dxa"/>
          </w:tcPr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Designing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Generate realistic ideas through discussion and design criteria for an appealing, functional product fit for purpose and specific user/s.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Produce annotated sketches, prototypes, final product sketches and pattern pieces.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Making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Plan the main stages of making.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Select and use a range of appropriate tools with some accuracy e.g. cutting, joining and finishing.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Select fabrics and fastenings according to their functional characteristics e.g. strength, and aesthetic qualities e.g. pattern.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Evaluating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Investigate a range of 3-D textile products relevant to the project.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Test their product against the original design criteria and with the intended user.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Take into account others’ views.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Understand how a key event/individual has influenced the development of the chosen product and/or fabric.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lastRenderedPageBreak/>
              <w:t>Technical knowledge and understanding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Know how to strengthen, stiffen and reinforce existing fabrics.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Understand how to securely join two pieces of fabric together.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Understand the need for patterns and seam allowances.</w:t>
            </w:r>
          </w:p>
          <w:p w:rsidR="00431A1D" w:rsidRPr="00DB0802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</w:rPr>
              <w:t>• Know and use technical vocabulary relevant to the project.</w:t>
            </w:r>
          </w:p>
        </w:tc>
      </w:tr>
    </w:tbl>
    <w:p w:rsidR="003701FF" w:rsidRDefault="003701FF" w:rsidP="008E2D05">
      <w:pPr>
        <w:rPr>
          <w:rFonts w:ascii="NTPreCursivefk" w:hAnsi="NTPreCursivefk"/>
          <w:sz w:val="48"/>
        </w:rPr>
      </w:pPr>
    </w:p>
    <w:p w:rsidR="0023450D" w:rsidRDefault="0023450D" w:rsidP="008E2D05">
      <w:pPr>
        <w:rPr>
          <w:rFonts w:ascii="NTPreCursivefk" w:hAnsi="NTPreCursivefk"/>
          <w:sz w:val="48"/>
        </w:rPr>
      </w:pPr>
    </w:p>
    <w:p w:rsidR="0023450D" w:rsidRDefault="0023450D" w:rsidP="008E2D05">
      <w:pPr>
        <w:rPr>
          <w:rFonts w:ascii="NTPreCursivefk" w:hAnsi="NTPreCursivefk"/>
          <w:sz w:val="48"/>
        </w:rPr>
      </w:pPr>
    </w:p>
    <w:p w:rsidR="0023450D" w:rsidRDefault="0023450D" w:rsidP="008E2D05">
      <w:pPr>
        <w:rPr>
          <w:rFonts w:ascii="NTPreCursivefk" w:hAnsi="NTPreCursivefk"/>
          <w:sz w:val="48"/>
        </w:rPr>
      </w:pPr>
    </w:p>
    <w:p w:rsidR="00D97EAA" w:rsidRDefault="00D97EAA" w:rsidP="00D97EA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5C30B" wp14:editId="3A086991">
                <wp:simplePos x="0" y="0"/>
                <wp:positionH relativeFrom="column">
                  <wp:posOffset>1318260</wp:posOffset>
                </wp:positionH>
                <wp:positionV relativeFrom="paragraph">
                  <wp:posOffset>6985</wp:posOffset>
                </wp:positionV>
                <wp:extent cx="6355080" cy="457200"/>
                <wp:effectExtent l="152400" t="152400" r="179070" b="1714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F107F" id="Rectangle 14" o:spid="_x0000_s1026" style="position:absolute;margin-left:103.8pt;margin-top:.55pt;width:500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" filled="f" strokecolor="#c00000" strokeweight="2pt"/>
            </w:pict>
          </mc:Fallback>
        </mc:AlternateContent>
      </w:r>
      <w:r>
        <w:rPr>
          <w:rFonts w:ascii="NTPreCursivefk" w:hAnsi="NTPreCursivefk"/>
          <w:sz w:val="48"/>
        </w:rPr>
        <w:t>Summer</w:t>
      </w:r>
      <w:r w:rsidR="00E15471">
        <w:rPr>
          <w:rFonts w:ascii="NTPreCursivefk" w:hAnsi="NTPreCursivefk"/>
          <w:sz w:val="48"/>
        </w:rPr>
        <w:t>:</w:t>
      </w:r>
      <w:r>
        <w:rPr>
          <w:rFonts w:ascii="NTPreCursivefk" w:hAnsi="NTPreCursivefk"/>
          <w:sz w:val="48"/>
        </w:rPr>
        <w:t xml:space="preserve"> </w:t>
      </w:r>
      <w:r w:rsidR="00E15471">
        <w:rPr>
          <w:rFonts w:ascii="NTPreCursivefk" w:hAnsi="NTPreCursivefk"/>
          <w:sz w:val="48"/>
        </w:rPr>
        <w:t>Shell and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97EAA" w:rsidRPr="00DB0802" w:rsidTr="009F71DF">
        <w:tc>
          <w:tcPr>
            <w:tcW w:w="11874" w:type="dxa"/>
          </w:tcPr>
          <w:p w:rsidR="00D97EAA" w:rsidRPr="00DB0802" w:rsidRDefault="00D97EAA" w:rsidP="009F71DF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97EAA" w:rsidRPr="00DB0802" w:rsidTr="009F71DF">
        <w:tc>
          <w:tcPr>
            <w:tcW w:w="11874" w:type="dxa"/>
          </w:tcPr>
          <w:p w:rsidR="00360B40" w:rsidRDefault="00360B40" w:rsidP="00360B40">
            <w:pPr>
              <w:pStyle w:val="Default"/>
            </w:pP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Designing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lastRenderedPageBreak/>
              <w:t xml:space="preserve">• Generate and clarify ideas through discussion with peers and adults to develop design criteria including appearance, taste, texture and aroma for an appealing product for a particular user and purpose.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• Use annotated sketches and appropriate information and communication technology, such as web-based recipes, to develop and communicate ideas.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Making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• Plan the main stages of a recipe, listing ingredients, utensils and equipment.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• Select and use appropriate utensils and equipment to prepare and combine ingredients.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• Select from a range of ingredients to make appropriate food products, thinking about sensory characteristics.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Evaluating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• Carry out sensory evaluations of a variety of ingredients and products. Record the evaluations using e.g. tables and simple graphs.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• Evaluate the ongoing work and the final product with reference to the design criteria and the views of others.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Technical knowledge and understanding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 xml:space="preserve">• Know how to use appropriate equipment and utensils to prepare and combine food. </w:t>
            </w:r>
          </w:p>
          <w:p w:rsidR="00360B40" w:rsidRPr="00360B40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lastRenderedPageBreak/>
              <w:t xml:space="preserve">• Know about a range of fresh and processed ingredients appropriate for their product, and whether they are grown, reared or caught. </w:t>
            </w:r>
          </w:p>
          <w:p w:rsidR="00D97EAA" w:rsidRPr="00DB0802" w:rsidRDefault="00360B40" w:rsidP="00360B40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360B40">
              <w:rPr>
                <w:rFonts w:ascii="NTPreCursivefk" w:hAnsi="NTPreCursivefk"/>
                <w:sz w:val="32"/>
              </w:rPr>
              <w:t>• Know and use relevant technical and sensory vocabulary appropriately.</w:t>
            </w:r>
          </w:p>
        </w:tc>
      </w:tr>
    </w:tbl>
    <w:p w:rsidR="00D97EAA" w:rsidRPr="00DB0802" w:rsidRDefault="00D97EAA" w:rsidP="00D97EAA">
      <w:pPr>
        <w:rPr>
          <w:rFonts w:ascii="NTPreCursivefk" w:hAnsi="NTPreCursivefk"/>
          <w:sz w:val="48"/>
        </w:rPr>
      </w:pPr>
    </w:p>
    <w:sectPr w:rsidR="00D97EAA" w:rsidRPr="00DB0802" w:rsidSect="00DB080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2" w:rsidRDefault="00DB0802" w:rsidP="00DB0802">
      <w:pPr>
        <w:spacing w:after="0" w:line="240" w:lineRule="auto"/>
      </w:pPr>
      <w:r>
        <w:separator/>
      </w:r>
    </w:p>
  </w:endnote>
  <w:end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2" w:rsidRDefault="00DB0802" w:rsidP="00DB0802">
      <w:pPr>
        <w:spacing w:after="0" w:line="240" w:lineRule="auto"/>
      </w:pPr>
      <w:r>
        <w:separator/>
      </w:r>
    </w:p>
  </w:footnote>
  <w:foot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4F" w:rsidRPr="00D6482C" w:rsidRDefault="009D1556" w:rsidP="00D6482C">
    <w:pPr>
      <w:pStyle w:val="Header"/>
      <w:jc w:val="center"/>
      <w:rPr>
        <w:rFonts w:ascii="NTPreCursivefk" w:hAnsi="NTPreCursivefk"/>
        <w:sz w:val="36"/>
      </w:rPr>
    </w:pPr>
    <w:r>
      <w:rPr>
        <w:rFonts w:ascii="NTPreCursivefk" w:hAnsi="NTPreCursivefk"/>
        <w:sz w:val="48"/>
      </w:rPr>
      <w:t>Owls</w:t>
    </w:r>
    <w:r w:rsidR="00431A1D">
      <w:rPr>
        <w:rFonts w:ascii="NTPreCursivefk" w:hAnsi="NTPreCursivefk"/>
        <w:sz w:val="48"/>
      </w:rPr>
      <w:t xml:space="preserve"> Science </w:t>
    </w:r>
    <w:r w:rsidR="00102D4F" w:rsidRPr="00102D4F">
      <w:rPr>
        <w:rFonts w:ascii="NTPreCursivefk" w:hAnsi="NTPreCursivefk"/>
        <w:sz w:val="4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D4E65C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3B2"/>
    <w:multiLevelType w:val="hybridMultilevel"/>
    <w:tmpl w:val="B3B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7816"/>
    <w:multiLevelType w:val="hybridMultilevel"/>
    <w:tmpl w:val="F958669E"/>
    <w:lvl w:ilvl="0" w:tplc="FC52958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C743BF6"/>
    <w:multiLevelType w:val="hybridMultilevel"/>
    <w:tmpl w:val="99F25A12"/>
    <w:lvl w:ilvl="0" w:tplc="9D80E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1C93"/>
    <w:multiLevelType w:val="hybridMultilevel"/>
    <w:tmpl w:val="54220EAA"/>
    <w:lvl w:ilvl="0" w:tplc="B6F8F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791"/>
    <w:multiLevelType w:val="hybridMultilevel"/>
    <w:tmpl w:val="A9B0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08A8"/>
    <w:multiLevelType w:val="hybridMultilevel"/>
    <w:tmpl w:val="41A81B7E"/>
    <w:lvl w:ilvl="0" w:tplc="43545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A1F"/>
    <w:multiLevelType w:val="hybridMultilevel"/>
    <w:tmpl w:val="0C8A8BBE"/>
    <w:lvl w:ilvl="0" w:tplc="4B0A3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34456"/>
    <w:multiLevelType w:val="hybridMultilevel"/>
    <w:tmpl w:val="D56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D435A"/>
    <w:multiLevelType w:val="hybridMultilevel"/>
    <w:tmpl w:val="304A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F57"/>
    <w:multiLevelType w:val="hybridMultilevel"/>
    <w:tmpl w:val="7564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02"/>
    <w:rsid w:val="000A1D94"/>
    <w:rsid w:val="00102D4F"/>
    <w:rsid w:val="00146E79"/>
    <w:rsid w:val="0023450D"/>
    <w:rsid w:val="00297B57"/>
    <w:rsid w:val="00360B40"/>
    <w:rsid w:val="003701FF"/>
    <w:rsid w:val="0037335B"/>
    <w:rsid w:val="00431A1D"/>
    <w:rsid w:val="006B0C89"/>
    <w:rsid w:val="007C4FD3"/>
    <w:rsid w:val="0085234D"/>
    <w:rsid w:val="00860786"/>
    <w:rsid w:val="008E2D05"/>
    <w:rsid w:val="0095373C"/>
    <w:rsid w:val="009D1556"/>
    <w:rsid w:val="00A6070A"/>
    <w:rsid w:val="00B277CB"/>
    <w:rsid w:val="00C924E0"/>
    <w:rsid w:val="00CB1B7E"/>
    <w:rsid w:val="00CE4873"/>
    <w:rsid w:val="00D6482C"/>
    <w:rsid w:val="00D95DA7"/>
    <w:rsid w:val="00D97EAA"/>
    <w:rsid w:val="00DB0802"/>
    <w:rsid w:val="00E15471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08BC"/>
  <w15:docId w15:val="{408C9AC8-AA5D-45D1-8B7F-82C539A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360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Bladen</dc:creator>
  <cp:lastModifiedBy>lhoarty@bishopwilson.cheshire.sch.uk</cp:lastModifiedBy>
  <cp:revision>5</cp:revision>
  <dcterms:created xsi:type="dcterms:W3CDTF">2021-11-08T16:26:00Z</dcterms:created>
  <dcterms:modified xsi:type="dcterms:W3CDTF">2022-10-03T12:03:00Z</dcterms:modified>
</cp:coreProperties>
</file>